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A66" w:rsidRPr="00C622F6" w:rsidRDefault="00A57181" w:rsidP="00A50A66">
      <w:pPr>
        <w:rPr>
          <w:rFonts w:ascii="Arial" w:eastAsia="Times New Roman" w:hAnsi="Arial" w:cs="Arial"/>
          <w:color w:val="000000"/>
          <w:sz w:val="32"/>
          <w:szCs w:val="32"/>
        </w:rPr>
      </w:pPr>
      <w:bookmarkStart w:id="0" w:name="_Toc316874617"/>
      <w:r>
        <w:rPr>
          <w:b/>
          <w:color w:val="003359"/>
          <w:sz w:val="32"/>
          <w:szCs w:val="32"/>
        </w:rPr>
        <w:t xml:space="preserve">GEMMA </w:t>
      </w:r>
      <w:r w:rsidR="00A50A66" w:rsidRPr="00C622F6">
        <w:rPr>
          <w:b/>
          <w:color w:val="003359"/>
          <w:sz w:val="32"/>
          <w:szCs w:val="32"/>
        </w:rPr>
        <w:t>Referentiezaaktype ‘</w:t>
      </w:r>
      <w:r w:rsidR="00EF09F9" w:rsidRPr="00C622F6">
        <w:rPr>
          <w:b/>
          <w:color w:val="003359"/>
          <w:sz w:val="32"/>
          <w:szCs w:val="32"/>
        </w:rPr>
        <w:t>Aanvraag p</w:t>
      </w:r>
      <w:r w:rsidR="00A50A66" w:rsidRPr="00C622F6">
        <w:rPr>
          <w:b/>
          <w:color w:val="003359"/>
          <w:sz w:val="32"/>
          <w:szCs w:val="32"/>
        </w:rPr>
        <w:t>ubliek product</w:t>
      </w:r>
      <w:r w:rsidR="00EF09F9" w:rsidRPr="00C622F6">
        <w:rPr>
          <w:b/>
          <w:color w:val="003359"/>
          <w:sz w:val="32"/>
          <w:szCs w:val="32"/>
        </w:rPr>
        <w:t xml:space="preserve"> of dienst afhandel</w:t>
      </w:r>
      <w:r w:rsidR="00A50A66" w:rsidRPr="00C622F6">
        <w:rPr>
          <w:b/>
          <w:color w:val="003359"/>
          <w:sz w:val="32"/>
          <w:szCs w:val="32"/>
        </w:rPr>
        <w:t>en’</w:t>
      </w:r>
    </w:p>
    <w:bookmarkEnd w:id="0"/>
    <w:p w:rsidR="00CF55B4" w:rsidRDefault="00A70D24" w:rsidP="00CF55B4">
      <w:r>
        <w:t xml:space="preserve">Identificatie: </w:t>
      </w:r>
      <w:r w:rsidR="00A50A66">
        <w:t>GEMTE821002193-</w:t>
      </w:r>
      <w:r w:rsidR="00610BAA">
        <w:t>2040</w:t>
      </w:r>
      <w:r w:rsidR="00A50A66">
        <w:t>5</w:t>
      </w:r>
    </w:p>
    <w:p w:rsidR="00CF55B4" w:rsidRPr="00E7391D" w:rsidRDefault="00CF55B4" w:rsidP="00CF55B4">
      <w:r>
        <w:t xml:space="preserve">Versie datum: </w:t>
      </w:r>
      <w:r w:rsidR="00A70D24">
        <w:t>1-12-2014</w:t>
      </w:r>
    </w:p>
    <w:p w:rsidR="00AE6B3F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C622F6" w:rsidRPr="00C622F6" w:rsidRDefault="00C622F6" w:rsidP="00C622F6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073A55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C622F6" w:rsidP="00073A55">
            <w:r w:rsidRPr="00C622F6">
              <w:t>Aanvraag publiek product of dienst afhandelen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073A55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A50A66" w:rsidP="00073A55">
            <w:r w:rsidRPr="00A50A66">
              <w:t>Verstrekken van producten en diensten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A50A66" w:rsidP="00073A55">
            <w:r w:rsidRPr="00A50A66">
              <w:t>Het afhandelen van aanvragen voor producten of diensten die min of meer “gereed op de plank” liggen.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073A55"/>
        </w:tc>
      </w:tr>
      <w:tr w:rsidR="00CF55B4" w:rsidTr="00A25BF1">
        <w:tc>
          <w:tcPr>
            <w:tcW w:w="3227" w:type="dxa"/>
          </w:tcPr>
          <w:p w:rsidR="00CF55B4" w:rsidRPr="0080215A" w:rsidRDefault="00CF55B4" w:rsidP="00073A55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DF5443" w:rsidP="00073A55">
            <w:r>
              <w:t>Extern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073A55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DF5443" w:rsidP="00073A55">
            <w:r>
              <w:t>Aanvragen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073A55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DF5443" w:rsidP="00DF5443">
            <w:r>
              <w:t>P</w:t>
            </w:r>
            <w:r w:rsidRPr="00C622F6">
              <w:t>ubliek product of dienst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073A55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DF5443" w:rsidP="00073A55">
            <w:r>
              <w:t>Afhandelen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073A55"/>
        </w:tc>
      </w:tr>
      <w:tr w:rsidR="00CF55B4" w:rsidTr="00A25BF1">
        <w:tc>
          <w:tcPr>
            <w:tcW w:w="3227" w:type="dxa"/>
          </w:tcPr>
          <w:p w:rsidR="00CF55B4" w:rsidRPr="0080215A" w:rsidRDefault="00CF55B4" w:rsidP="00073A55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073A55"/>
        </w:tc>
      </w:tr>
      <w:tr w:rsidR="00CF55B4" w:rsidTr="00A25BF1"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073A55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073A55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073A55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073A55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073A55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C622F6" w:rsidP="00C622F6">
            <w:r>
              <w:t xml:space="preserve">GEMMA </w:t>
            </w:r>
            <w:r w:rsidR="00A50A66">
              <w:t>Ref</w:t>
            </w:r>
            <w:r w:rsidR="00C126A8">
              <w:t>e</w:t>
            </w:r>
            <w:r w:rsidR="00A50A66">
              <w:t>rentiebedrijfsproces</w:t>
            </w:r>
            <w:r>
              <w:t xml:space="preserve"> </w:t>
            </w:r>
            <w:r w:rsidR="00A50A66">
              <w:t>’</w:t>
            </w:r>
            <w:r w:rsidR="00482A1F">
              <w:t>Publieke producten’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073A55"/>
        </w:tc>
      </w:tr>
      <w:tr w:rsidR="00CF55B4" w:rsidTr="00A25BF1"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073A55"/>
        </w:tc>
      </w:tr>
      <w:tr w:rsidR="00CF55B4" w:rsidTr="00A25BF1"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073A55"/>
        </w:tc>
      </w:tr>
      <w:tr w:rsidR="00CF55B4" w:rsidTr="00A25BF1">
        <w:tc>
          <w:tcPr>
            <w:tcW w:w="3227" w:type="dxa"/>
          </w:tcPr>
          <w:p w:rsidR="00CF55B4" w:rsidRDefault="00CF55B4" w:rsidP="00073A55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7C0841" w:rsidP="007C0841">
            <w:r>
              <w:t xml:space="preserve">Het gaat om producten zoals grofvuil ophalen, stadspas, uittreksel GBA en </w:t>
            </w:r>
            <w:proofErr w:type="spellStart"/>
            <w:r>
              <w:t>WOZ-taxatieverslag</w:t>
            </w:r>
            <w:proofErr w:type="spellEnd"/>
            <w:r>
              <w:t xml:space="preserve">. </w:t>
            </w:r>
            <w:r w:rsidR="00166983">
              <w:t>Publieke producten worden h</w:t>
            </w:r>
            <w:r w:rsidR="00A50A66" w:rsidRPr="00A50A66">
              <w:t>ooguit nog gepersonifieerd. Er hoeft geen specialist aan te pas te komen om de aanvraag te beoordelen, z</w:t>
            </w:r>
            <w:r w:rsidR="00A50A66">
              <w:t>oals bij een vergunning of sub</w:t>
            </w:r>
            <w:r w:rsidR="00166983">
              <w:t>sidie. Ook vindt er geen</w:t>
            </w:r>
            <w:r w:rsidR="00A50A66" w:rsidRPr="00A50A66">
              <w:t xml:space="preserve"> toets op de indieningsvereisten plaats. Als je het vraagt, en je voldoet aan de eisen, vindt er een transactie plaats.</w:t>
            </w:r>
          </w:p>
        </w:tc>
      </w:tr>
    </w:tbl>
    <w:p w:rsidR="00DB4391" w:rsidRPr="00EB0790" w:rsidRDefault="00DB4391" w:rsidP="00CF55B4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1C4EC0">
            <w:pPr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A50A66" w:rsidP="001C4EC0">
            <w:r>
              <w:t>Ja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1C4EC0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1C4EC0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1C4EC0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DF5443" w:rsidP="001C4EC0">
            <w:r>
              <w:t>n.t.b.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1C4EC0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1C4EC0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1C4EC0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1C4EC0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1C4EC0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1C4EC0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1C4EC0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1C4EC0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CF55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</w:t>
            </w:r>
            <w:r w:rsidR="00CF55B4" w:rsidRPr="005B072C">
              <w:rPr>
                <w:b/>
                <w:i/>
              </w:rPr>
              <w:t>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</w:t>
            </w:r>
            <w:r w:rsidR="00CF55B4" w:rsidRPr="005B072C">
              <w:rPr>
                <w:b/>
                <w:i/>
              </w:rPr>
              <w:t>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5B072C" w:rsidRDefault="00CF55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B3018E" w:rsidTr="001C4EC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018E" w:rsidRPr="00B3018E" w:rsidRDefault="00A50A66" w:rsidP="00073A5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3018E" w:rsidRPr="00B3018E" w:rsidRDefault="00A50A66" w:rsidP="00073A55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073A55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073A55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8E1015" w:rsidP="00073A55">
            <w: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073A55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073A55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073A55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073A55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073A55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073A55"/>
        </w:tc>
      </w:tr>
      <w:tr w:rsidR="00073A55" w:rsidTr="002801D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Pr="0081326F" w:rsidRDefault="00073A55" w:rsidP="00073A55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3A55" w:rsidRPr="00B3018E" w:rsidRDefault="00073A55" w:rsidP="00073A55">
            <w:r>
              <w:rPr>
                <w:i/>
              </w:rPr>
              <w:t>Toelichting</w:t>
            </w:r>
          </w:p>
        </w:tc>
      </w:tr>
      <w:tr w:rsidR="00073A55" w:rsidTr="002801D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1326F" w:rsidRDefault="00073A55" w:rsidP="00073A55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73A55" w:rsidRPr="00B3018E" w:rsidRDefault="00073A55" w:rsidP="00073A55">
            <w:r w:rsidRPr="00796EC1">
              <w:t>De aanvraag is volledig en kan inhoudelijk behandeld worden</w:t>
            </w:r>
            <w:r>
              <w:t>.</w:t>
            </w:r>
          </w:p>
        </w:tc>
      </w:tr>
      <w:tr w:rsidR="00F6648D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A50A66" w:rsidP="00073A5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A50A66" w:rsidP="00073A55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Afgerekend</w:t>
            </w:r>
          </w:p>
        </w:tc>
      </w:tr>
      <w:tr w:rsidR="00F6648D" w:rsidRPr="00B3018E" w:rsidTr="001C4EC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073A55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8E1015" w:rsidP="00073A55">
            <w:r>
              <w:t>Afgerekend</w:t>
            </w:r>
          </w:p>
        </w:tc>
      </w:tr>
      <w:tr w:rsidR="00F6648D" w:rsidRPr="00B3018E" w:rsidTr="001C4EC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073A55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073A55"/>
        </w:tc>
      </w:tr>
      <w:tr w:rsidR="00F6648D" w:rsidRPr="00B3018E" w:rsidTr="001C4EC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073A55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073A55"/>
        </w:tc>
      </w:tr>
      <w:tr w:rsidR="00F6648D" w:rsidRPr="00B3018E" w:rsidTr="001C4EC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073A55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073A55"/>
        </w:tc>
      </w:tr>
      <w:tr w:rsidR="00073A55" w:rsidRPr="00B3018E" w:rsidTr="002801D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Pr="0081326F" w:rsidRDefault="00073A55" w:rsidP="00073A55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3A55" w:rsidRPr="00B3018E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B3018E" w:rsidTr="002801D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1326F" w:rsidRDefault="00073A55" w:rsidP="00073A55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73A55" w:rsidRPr="00B3018E" w:rsidRDefault="00073A55" w:rsidP="00073A55">
            <w:r w:rsidRPr="00796EC1">
              <w:t>Het verzoek tot betaling is verstuurd en het te betalen bedrag is ontvangen.</w:t>
            </w:r>
          </w:p>
        </w:tc>
      </w:tr>
      <w:tr w:rsidR="00A50A66" w:rsidRPr="00B3018E" w:rsidTr="001C4EC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Product opgesteld</w:t>
            </w:r>
          </w:p>
        </w:tc>
      </w:tr>
      <w:tr w:rsidR="00A50A66" w:rsidRPr="00B3018E" w:rsidTr="001C4EC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0A66" w:rsidRDefault="00A50A66" w:rsidP="00073A55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0A66" w:rsidRPr="0081326F" w:rsidRDefault="00A50A66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0A66" w:rsidRPr="00B3018E" w:rsidRDefault="008E1015" w:rsidP="00073A55">
            <w:r>
              <w:t>Product opgesteld</w:t>
            </w:r>
          </w:p>
        </w:tc>
      </w:tr>
      <w:tr w:rsidR="00A50A66" w:rsidRPr="00B3018E" w:rsidTr="001C4EC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0A66" w:rsidRDefault="00A50A66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0A66" w:rsidRPr="0081326F" w:rsidRDefault="00A50A66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0A66" w:rsidRPr="00B3018E" w:rsidRDefault="00A50A66" w:rsidP="00073A55"/>
        </w:tc>
      </w:tr>
      <w:tr w:rsidR="00A50A66" w:rsidRPr="00B3018E" w:rsidTr="001C4EC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0A66" w:rsidRDefault="00A50A66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0A66" w:rsidRPr="0081326F" w:rsidRDefault="00A50A66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0A66" w:rsidRPr="00B3018E" w:rsidRDefault="00A50A66" w:rsidP="00073A55"/>
        </w:tc>
      </w:tr>
      <w:tr w:rsidR="00A50A66" w:rsidRPr="00B3018E" w:rsidTr="001C4EC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0A66" w:rsidRDefault="00A50A66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0A66" w:rsidRPr="0081326F" w:rsidRDefault="00A50A66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0A66" w:rsidRPr="00B3018E" w:rsidRDefault="00A50A66" w:rsidP="00073A55"/>
        </w:tc>
      </w:tr>
      <w:tr w:rsidR="00073A55" w:rsidRPr="00B3018E" w:rsidTr="002801D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Pr="0081326F" w:rsidRDefault="00073A55" w:rsidP="00073A55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3A55" w:rsidRPr="00B3018E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B3018E" w:rsidTr="002801D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1326F" w:rsidRDefault="00073A55" w:rsidP="00073A55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73A55" w:rsidRPr="00B3018E" w:rsidRDefault="00073A55" w:rsidP="00073A55">
            <w:r w:rsidRPr="00796EC1">
              <w:t>Het gevraagde product is opgesteld.</w:t>
            </w:r>
          </w:p>
        </w:tc>
      </w:tr>
      <w:tr w:rsidR="00A50A66" w:rsidRPr="00B3018E" w:rsidTr="001C4EC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0A66" w:rsidRPr="00B3018E" w:rsidRDefault="00D20827" w:rsidP="00073A55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0A66" w:rsidRPr="00B3018E" w:rsidTr="001C4EC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0A66" w:rsidRDefault="00A50A66" w:rsidP="00073A55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0A66" w:rsidRPr="0081326F" w:rsidRDefault="00A50A66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0A66" w:rsidRPr="00B3018E" w:rsidRDefault="00D20827" w:rsidP="00073A55">
            <w:r>
              <w:t>Zaak afgerond</w:t>
            </w:r>
          </w:p>
        </w:tc>
      </w:tr>
      <w:tr w:rsidR="00A50A66" w:rsidRPr="00B3018E" w:rsidTr="001C4EC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0A66" w:rsidRDefault="00A50A66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0A66" w:rsidRPr="0081326F" w:rsidRDefault="00A50A66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0A66" w:rsidRPr="00B3018E" w:rsidRDefault="00A50A66" w:rsidP="00073A55"/>
        </w:tc>
      </w:tr>
      <w:tr w:rsidR="00A50A66" w:rsidRPr="00B3018E" w:rsidTr="001C4EC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0A66" w:rsidRDefault="00A50A66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0A66" w:rsidRPr="0081326F" w:rsidRDefault="00A50A66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0A66" w:rsidRPr="00B3018E" w:rsidRDefault="00A50A66" w:rsidP="00073A55"/>
        </w:tc>
      </w:tr>
      <w:tr w:rsidR="00A50A66" w:rsidRPr="00B3018E" w:rsidTr="001C4EC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0A66" w:rsidRDefault="00A50A66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0A66" w:rsidRPr="0081326F" w:rsidRDefault="00A50A66" w:rsidP="00073A55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0A66" w:rsidRPr="00B3018E" w:rsidRDefault="00A50A66" w:rsidP="00073A55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0A66" w:rsidRPr="00B3018E" w:rsidRDefault="00A50A66" w:rsidP="00073A55"/>
        </w:tc>
      </w:tr>
      <w:tr w:rsidR="00073A55" w:rsidRPr="00B3018E" w:rsidTr="002801D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Pr="0081326F" w:rsidRDefault="00073A55" w:rsidP="00073A55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3A55" w:rsidRPr="00B3018E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B3018E" w:rsidTr="002801D8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1326F" w:rsidRDefault="00073A55" w:rsidP="00073A55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73A55" w:rsidRPr="00B3018E" w:rsidRDefault="00073A55" w:rsidP="00073A55">
            <w:r w:rsidRPr="00796EC1">
              <w:t>De zaak is gecompleteerd en kan worden afgesloten</w:t>
            </w:r>
            <w:r>
              <w:t>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CF55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622F6" w:rsidP="000B3496">
            <w:pPr>
              <w:keepNext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Status</w:t>
            </w:r>
            <w:r>
              <w:rPr>
                <w:b/>
                <w:i/>
              </w:rPr>
              <w:softHyphen/>
              <w:t>type</w:t>
            </w:r>
            <w:r>
              <w:rPr>
                <w:b/>
                <w:i/>
              </w:rPr>
              <w:softHyphen/>
              <w:t>volg</w:t>
            </w:r>
            <w:r>
              <w:rPr>
                <w:b/>
                <w:i/>
              </w:rPr>
              <w:softHyphen/>
              <w:t>num</w:t>
            </w:r>
            <w:r w:rsidR="00CF55B4" w:rsidRPr="00B3018E">
              <w:rPr>
                <w:b/>
                <w:i/>
              </w:rPr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CF55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B649C" w:rsidRDefault="008E1015" w:rsidP="00073A55">
            <w:r w:rsidRPr="00BB649C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B649C" w:rsidRDefault="008E1015" w:rsidP="00073A55">
            <w:r w:rsidRPr="00BB649C">
              <w:t>Aanvraag volledig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B649C" w:rsidRDefault="00CF55B4" w:rsidP="00073A55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BB649C">
              <w:t xml:space="preserve"> </w:t>
            </w:r>
            <w:r w:rsidR="008E1015" w:rsidRPr="00BB649C">
              <w:rPr>
                <w:rFonts w:eastAsia="Times New Roman" w:cs="Arial"/>
                <w:color w:val="000000"/>
              </w:rPr>
              <w:t>Is de aanvraag volledig?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B649C" w:rsidRDefault="008E1015" w:rsidP="00073A55">
            <w:pPr>
              <w:tabs>
                <w:tab w:val="left" w:pos="2019"/>
              </w:tabs>
              <w:ind w:left="460" w:hanging="425"/>
            </w:pPr>
            <w:r w:rsidRPr="00BB649C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B649C" w:rsidRDefault="00CF55B4" w:rsidP="00073A55">
            <w:pPr>
              <w:ind w:left="2019" w:hanging="1985"/>
            </w:pPr>
          </w:p>
        </w:tc>
      </w:tr>
      <w:tr w:rsidR="008E1015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r w:rsidRPr="00BB649C"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r w:rsidRPr="00BB649C">
              <w:t>Indieningsvereisten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pPr>
              <w:tabs>
                <w:tab w:val="left" w:pos="2019"/>
              </w:tabs>
              <w:ind w:left="460" w:hanging="425"/>
            </w:pPr>
            <w:r w:rsidRPr="00BB649C">
              <w:rPr>
                <w:rFonts w:eastAsia="Times New Roman" w:cs="Arial"/>
                <w:color w:val="000000"/>
              </w:rPr>
              <w:t xml:space="preserve">Zijn de indieningsvereisten getoetst? 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pPr>
              <w:tabs>
                <w:tab w:val="left" w:pos="2019"/>
              </w:tabs>
              <w:ind w:left="460" w:hanging="425"/>
            </w:pPr>
            <w:r w:rsidRPr="00BB649C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pPr>
              <w:ind w:left="2019" w:hanging="1985"/>
            </w:pPr>
          </w:p>
        </w:tc>
      </w:tr>
      <w:tr w:rsidR="00CF55B4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B649C" w:rsidRDefault="008E1015" w:rsidP="00073A55">
            <w:r w:rsidRPr="00BB649C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B649C" w:rsidRDefault="008E1015" w:rsidP="00073A55">
            <w:r w:rsidRPr="00BB649C">
              <w:t>Betaling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B649C" w:rsidRDefault="008E1015" w:rsidP="00073A55">
            <w:pPr>
              <w:tabs>
                <w:tab w:val="left" w:pos="2019"/>
              </w:tabs>
              <w:ind w:left="460" w:hanging="425"/>
            </w:pPr>
            <w:r w:rsidRPr="00BB649C">
              <w:t>Is het verzoek tot betaling verstuurd?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B649C" w:rsidRDefault="008E1015" w:rsidP="00073A55">
            <w:pPr>
              <w:tabs>
                <w:tab w:val="left" w:pos="2019"/>
              </w:tabs>
              <w:ind w:left="460" w:hanging="425"/>
            </w:pPr>
            <w:r w:rsidRPr="00BB649C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Pr="00BB649C" w:rsidRDefault="00CF55B4" w:rsidP="00073A55">
            <w:pPr>
              <w:ind w:left="2019" w:hanging="1985"/>
            </w:pPr>
          </w:p>
        </w:tc>
      </w:tr>
      <w:tr w:rsidR="008E1015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r w:rsidRPr="00BB649C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r w:rsidRPr="00BB649C">
              <w:t>Product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pPr>
              <w:tabs>
                <w:tab w:val="left" w:pos="2019"/>
              </w:tabs>
              <w:ind w:left="460" w:hanging="425"/>
            </w:pPr>
            <w:r w:rsidRPr="00BB649C">
              <w:t xml:space="preserve">Is het product opgesteld? 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pPr>
              <w:tabs>
                <w:tab w:val="left" w:pos="2019"/>
              </w:tabs>
              <w:ind w:left="460" w:hanging="425"/>
            </w:pPr>
            <w:r w:rsidRPr="00BB649C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pPr>
              <w:ind w:left="2019" w:hanging="1985"/>
            </w:pPr>
          </w:p>
        </w:tc>
      </w:tr>
      <w:tr w:rsidR="008E1015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r w:rsidRPr="00BB649C"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0B3CEE" w:rsidP="00073A55">
            <w:r>
              <w:t>Archiveri</w:t>
            </w:r>
            <w:r w:rsidR="008E1015" w:rsidRPr="00BB649C">
              <w:t>n</w:t>
            </w:r>
            <w:r>
              <w:t>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0B3CEE" w:rsidP="00073A55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pPr>
              <w:tabs>
                <w:tab w:val="left" w:pos="2019"/>
              </w:tabs>
              <w:ind w:left="460" w:hanging="425"/>
            </w:pPr>
            <w:r w:rsidRPr="00BB649C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E1015" w:rsidRPr="00BB649C" w:rsidRDefault="008E1015" w:rsidP="00073A55">
            <w:pPr>
              <w:ind w:left="2019" w:hanging="1985"/>
            </w:pPr>
          </w:p>
        </w:tc>
      </w:tr>
    </w:tbl>
    <w:p w:rsidR="00CF55B4" w:rsidRDefault="00CF55B4" w:rsidP="00CF55B4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77495A" w:rsidP="002F69C5">
            <w:proofErr w:type="spellStart"/>
            <w:r>
              <w:t>Klantcont</w:t>
            </w:r>
            <w:r w:rsidR="002F69C5">
              <w:t>acte</w:t>
            </w:r>
            <w:r>
              <w:t>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</w:tr>
    </w:tbl>
    <w:p w:rsidR="008E1015" w:rsidRDefault="008E1015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1C4EC0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1C4EC0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1C4EC0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1C4EC0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1C4EC0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20827" w:rsidP="00073A55">
            <w:proofErr w:type="spellStart"/>
            <w:r>
              <w:t>n.t.b</w:t>
            </w:r>
            <w:proofErr w:type="spellEnd"/>
            <w:r>
              <w:t xml:space="preserve">. </w:t>
            </w:r>
            <w:r w:rsidR="00482A1F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073A55"/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073A55"/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073A55"/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073A55"/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1C4EC0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7F62C4" w:rsidP="00073A55">
            <w:pPr>
              <w:tabs>
                <w:tab w:val="left" w:pos="945"/>
              </w:tabs>
              <w:rPr>
                <w:b/>
              </w:rPr>
            </w:pPr>
            <w:r>
              <w:rPr>
                <w:b/>
              </w:rPr>
              <w:t>Prijs</w:t>
            </w:r>
            <w:r w:rsidR="00073A55">
              <w:rPr>
                <w:b/>
              </w:rPr>
              <w:tab/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073A55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0B3CEE" w:rsidP="00073A55">
            <w:r w:rsidRPr="00A2720A">
              <w:t>De prijs die voor het product betaald moet worden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073A55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A2720A" w:rsidP="00073A55">
            <w:r>
              <w:t>bedrag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73A55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7F62C4" w:rsidP="00073A55">
            <w:r w:rsidRPr="007F62C4">
              <w:t>0..1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73A55"/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073A55"/>
        </w:tc>
      </w:tr>
      <w:tr w:rsidR="00073A55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73A55" w:rsidRPr="0001491D" w:rsidRDefault="00073A55" w:rsidP="00073A55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01491D" w:rsidRDefault="00073A55" w:rsidP="00073A55">
            <w:r>
              <w:rPr>
                <w:i/>
              </w:rPr>
              <w:t>Toelichting</w:t>
            </w:r>
          </w:p>
        </w:tc>
      </w:tr>
      <w:tr w:rsidR="00073A55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01491D" w:rsidRDefault="00073A55" w:rsidP="00073A55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01491D" w:rsidRDefault="00073A55" w:rsidP="00073A55"/>
        </w:tc>
      </w:tr>
      <w:tr w:rsidR="00F6648D" w:rsidRPr="0001491D" w:rsidTr="001C4EC0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7F62C4" w:rsidP="00073A55">
            <w:pPr>
              <w:rPr>
                <w:b/>
              </w:rPr>
            </w:pPr>
            <w:r>
              <w:rPr>
                <w:b/>
              </w:rPr>
              <w:t>Betaald</w:t>
            </w:r>
          </w:p>
        </w:tc>
      </w:tr>
      <w:tr w:rsidR="00F6648D" w:rsidRPr="00405B37" w:rsidTr="001C4EC0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0B3CEE" w:rsidP="00073A55">
            <w:r>
              <w:t>Indicatie of het product betaald is</w:t>
            </w:r>
          </w:p>
        </w:tc>
      </w:tr>
      <w:tr w:rsidR="00F6648D" w:rsidRPr="00405B37" w:rsidTr="001C4EC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6648D" w:rsidP="00073A55"/>
        </w:tc>
      </w:tr>
      <w:tr w:rsidR="00F6648D" w:rsidRPr="0001491D" w:rsidTr="001C4EC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073A55"/>
        </w:tc>
      </w:tr>
      <w:tr w:rsidR="00F6648D" w:rsidRPr="0001491D" w:rsidTr="001C4EC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073A55"/>
        </w:tc>
      </w:tr>
      <w:tr w:rsidR="00F6648D" w:rsidRPr="0001491D" w:rsidTr="001C4EC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7F62C4" w:rsidP="00073A55">
            <w:r>
              <w:t>1</w:t>
            </w:r>
          </w:p>
        </w:tc>
      </w:tr>
      <w:tr w:rsidR="00F6648D" w:rsidRPr="0001491D" w:rsidTr="001C4EC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7F62C4" w:rsidP="00073A55">
            <w:r>
              <w:t>‘Ja’, ‘Nee’, ‘n.v.t.’</w:t>
            </w:r>
          </w:p>
        </w:tc>
      </w:tr>
      <w:tr w:rsidR="00F6648D" w:rsidRPr="0001491D" w:rsidTr="001C4EC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073A55"/>
        </w:tc>
      </w:tr>
      <w:tr w:rsidR="00073A55" w:rsidRPr="0001491D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73A55" w:rsidRPr="0001491D" w:rsidRDefault="00073A55" w:rsidP="00073A55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01491D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01491D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01491D" w:rsidRDefault="00073A55" w:rsidP="00073A55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01491D" w:rsidRDefault="00073A55" w:rsidP="00073A55"/>
        </w:tc>
      </w:tr>
      <w:tr w:rsidR="007F62C4" w:rsidRPr="0001491D" w:rsidTr="002801D8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rPr>
                <w:b/>
              </w:rPr>
            </w:pPr>
            <w:r>
              <w:rPr>
                <w:b/>
              </w:rPr>
              <w:t>Product goedgekeurd</w:t>
            </w:r>
          </w:p>
        </w:tc>
      </w:tr>
      <w:tr w:rsidR="007F62C4" w:rsidRPr="00405B37" w:rsidTr="002801D8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405B37" w:rsidRDefault="000B3CEE" w:rsidP="00073A55">
            <w:r>
              <w:t xml:space="preserve">Indicatie of het </w:t>
            </w:r>
            <w:r w:rsidRPr="00A2720A">
              <w:t>product goedgekeurd is voor levering</w:t>
            </w:r>
          </w:p>
        </w:tc>
      </w:tr>
      <w:tr w:rsidR="007F62C4" w:rsidRPr="00405B37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405B37" w:rsidRDefault="007F62C4" w:rsidP="00073A55"/>
        </w:tc>
      </w:tr>
      <w:tr w:rsidR="007F62C4" w:rsidRPr="0001491D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/>
        </w:tc>
      </w:tr>
      <w:tr w:rsidR="007F62C4" w:rsidRPr="0001491D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/>
        </w:tc>
      </w:tr>
      <w:tr w:rsidR="007F62C4" w:rsidRPr="0001491D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r>
              <w:t>1</w:t>
            </w:r>
          </w:p>
        </w:tc>
      </w:tr>
      <w:tr w:rsidR="007F62C4" w:rsidRPr="0001491D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r>
              <w:t>‘Ja’ en ‘Nee’</w:t>
            </w:r>
          </w:p>
        </w:tc>
      </w:tr>
      <w:tr w:rsidR="007F62C4" w:rsidRPr="0001491D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2C4" w:rsidRPr="0001491D" w:rsidRDefault="007F62C4" w:rsidP="00073A55"/>
        </w:tc>
      </w:tr>
      <w:tr w:rsidR="00073A55" w:rsidRPr="0001491D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73A55" w:rsidRPr="0001491D" w:rsidRDefault="00073A55" w:rsidP="00073A55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01491D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01491D" w:rsidTr="002801D8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01491D" w:rsidRDefault="00073A55" w:rsidP="00073A55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01491D" w:rsidRDefault="00073A55" w:rsidP="00073A55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CF55B4" w:rsidTr="00A6183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1C4EC0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1C4EC0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1C4EC0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873152" w:rsidTr="001C4EC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A2720A" w:rsidP="00073A5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A2720A" w:rsidP="00073A55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Aanvraag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073A55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A2720A" w:rsidP="00073A55">
            <w:r>
              <w:t>Aanvraag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775B24" w:rsidP="00073A55">
            <w:r>
              <w:t>Inkomend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/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775B24" w:rsidP="00073A55">
            <w:r>
              <w:t>Ja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073A55"/>
        </w:tc>
      </w:tr>
      <w:tr w:rsidR="00073A55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>
            <w:r>
              <w:rPr>
                <w:i/>
              </w:rPr>
              <w:t>Toelichting</w:t>
            </w:r>
          </w:p>
        </w:tc>
      </w:tr>
      <w:tr w:rsidR="00073A55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/>
        </w:tc>
      </w:tr>
      <w:tr w:rsidR="00F6648D" w:rsidRPr="00873152" w:rsidTr="001C4EC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A2720A" w:rsidP="00073A5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A2720A" w:rsidP="00073A55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Ontvangstbevestiging</w:t>
            </w:r>
          </w:p>
        </w:tc>
      </w:tr>
      <w:tr w:rsidR="00F6648D" w:rsidRPr="00873152" w:rsidTr="001C4EC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/>
        </w:tc>
      </w:tr>
      <w:tr w:rsidR="00F6648D" w:rsidRPr="00873152" w:rsidTr="001C4EC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A2720A" w:rsidP="00073A55">
            <w:r>
              <w:t>Bevestiging</w:t>
            </w:r>
          </w:p>
        </w:tc>
      </w:tr>
      <w:tr w:rsidR="00F6648D" w:rsidRPr="00873152" w:rsidTr="001C4EC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/>
        </w:tc>
      </w:tr>
      <w:tr w:rsidR="00F6648D" w:rsidRPr="00873152" w:rsidTr="001C4EC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/>
        </w:tc>
      </w:tr>
      <w:tr w:rsidR="00F6648D" w:rsidRPr="00873152" w:rsidTr="001C4EC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0B3CEE" w:rsidP="00073A55">
            <w:r>
              <w:t>Uitgaand</w:t>
            </w:r>
          </w:p>
        </w:tc>
      </w:tr>
      <w:tr w:rsidR="00F6648D" w:rsidRPr="00873152" w:rsidTr="001C4EC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/>
        </w:tc>
      </w:tr>
      <w:tr w:rsidR="00F6648D" w:rsidRPr="00873152" w:rsidTr="001C4EC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/>
        </w:tc>
      </w:tr>
      <w:tr w:rsidR="00F6648D" w:rsidRPr="00873152" w:rsidTr="001C4EC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073A55"/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tabs>
                <w:tab w:val="left" w:pos="2542"/>
              </w:tabs>
              <w:ind w:left="700" w:hanging="709"/>
              <w:rPr>
                <w:b/>
              </w:rPr>
            </w:pPr>
            <w:r w:rsidRPr="00A2720A">
              <w:rPr>
                <w:b/>
              </w:rPr>
              <w:t>Verzoek aanvullende informatie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r>
              <w:t>Verzoek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0B3CEE" w:rsidP="00073A55">
            <w:r>
              <w:t>Uitgaand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tabs>
                <w:tab w:val="left" w:pos="2542"/>
              </w:tabs>
              <w:rPr>
                <w:b/>
              </w:rPr>
            </w:pPr>
            <w:r>
              <w:rPr>
                <w:b/>
              </w:rPr>
              <w:t>Aanvulling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r>
              <w:t>Aanvraag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0B3CEE" w:rsidP="00073A55">
            <w:r>
              <w:t>Inkomend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Product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775B24" w:rsidP="00073A55">
            <w:r>
              <w:t>Uitgaand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775B24" w:rsidP="00073A55">
            <w:r>
              <w:t>Nee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Besluit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r>
              <w:t>Besluit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 tot betaling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r>
              <w:t xml:space="preserve">Verzoek 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775B24" w:rsidP="00073A55">
            <w:r>
              <w:t>Uitgaand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775B24" w:rsidP="00073A55">
            <w:r>
              <w:t>Nee</w:t>
            </w:r>
          </w:p>
        </w:tc>
      </w:tr>
      <w:tr w:rsidR="00A2720A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720A" w:rsidRDefault="00A2720A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720A" w:rsidRDefault="00A2720A" w:rsidP="00073A55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720A" w:rsidRPr="00873152" w:rsidRDefault="00A2720A" w:rsidP="00073A55"/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>
            <w:r>
              <w:rPr>
                <w:i/>
              </w:rPr>
              <w:t>Toelichting</w:t>
            </w:r>
          </w:p>
        </w:tc>
      </w:tr>
      <w:tr w:rsidR="00073A55" w:rsidRPr="00873152" w:rsidTr="002801D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73A55" w:rsidRDefault="00073A55" w:rsidP="00073A55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73152" w:rsidRDefault="00073A55" w:rsidP="00073A55"/>
        </w:tc>
      </w:tr>
    </w:tbl>
    <w:p w:rsidR="008A1EC2" w:rsidRDefault="008A1EC2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1C4EC0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1C4EC0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1C4EC0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D20827" w:rsidP="008A1EC2">
            <w:pPr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  <w:r w:rsidR="00482A1F">
              <w:rPr>
                <w:b/>
              </w:rPr>
              <w:t xml:space="preserve"> 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1C4EC0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1C4EC0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1C4EC0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1C4EC0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1C4EC0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1C4EC0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1C4EC0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073A55" w:rsidTr="002801D8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73A55" w:rsidRDefault="00073A55" w:rsidP="001C4EC0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A1EC2" w:rsidRDefault="00073A55" w:rsidP="008A1EC2">
            <w:r>
              <w:rPr>
                <w:i/>
              </w:rPr>
              <w:t>Toelichting</w:t>
            </w:r>
          </w:p>
        </w:tc>
      </w:tr>
      <w:tr w:rsidR="00073A55" w:rsidTr="002801D8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Default="00073A55" w:rsidP="001C4EC0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8A1EC2" w:rsidRDefault="00073A55" w:rsidP="008A1EC2"/>
        </w:tc>
      </w:tr>
    </w:tbl>
    <w:p w:rsidR="00073A55" w:rsidRDefault="00073A55" w:rsidP="00610BAA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CF55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 w:rsidR="007B3742"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7B3742" w:rsidTr="001C4EC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610BAA" w:rsidP="00073A55">
            <w:pPr>
              <w:rPr>
                <w:b/>
              </w:rPr>
            </w:pPr>
            <w:r>
              <w:rPr>
                <w:b/>
              </w:rPr>
              <w:t>verleend</w:t>
            </w:r>
          </w:p>
        </w:tc>
      </w:tr>
      <w:tr w:rsidR="007B374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Default="00EB4CF7" w:rsidP="00EB4CF7">
            <w:r>
              <w:t>2.7 Verlening van vergunningen, machtigingen, verklaringen van geen bezwaar e.d.</w:t>
            </w:r>
          </w:p>
          <w:p w:rsidR="00EB4CF7" w:rsidRDefault="00EB4CF7" w:rsidP="00EB4CF7">
            <w:r>
              <w:t>3.8.5 Lijkbezorging</w:t>
            </w:r>
          </w:p>
          <w:p w:rsidR="00EB4CF7" w:rsidRDefault="00EB4CF7" w:rsidP="00EB4CF7">
            <w:r>
              <w:t>3.7.2 Gemeentelijke basisadministratie persoonsgegevens</w:t>
            </w:r>
          </w:p>
          <w:p w:rsidR="00EB4CF7" w:rsidRDefault="00EB4CF7" w:rsidP="00EB4CF7">
            <w:r>
              <w:t>3.7.3 Nationaliteit</w:t>
            </w:r>
          </w:p>
          <w:p w:rsidR="00EB4CF7" w:rsidRDefault="00EB4CF7" w:rsidP="00EB4CF7">
            <w:r>
              <w:t>3.7.5 Reisdocumenten (Paspoortwet- en regelgeving)</w:t>
            </w:r>
          </w:p>
          <w:p w:rsidR="002801D8" w:rsidRPr="007B3742" w:rsidRDefault="00EB4CF7" w:rsidP="00073A55">
            <w:r>
              <w:t>3.15.2 Financiering</w:t>
            </w: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EB4CF7" w:rsidP="00073A55">
            <w:r>
              <w:t>Vernietigen</w:t>
            </w: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EB4CF7" w:rsidP="00073A55">
            <w:r>
              <w:t>1- 11 jaar</w:t>
            </w: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EB4CF7" w:rsidP="00073A55">
            <w:r>
              <w:t>Ander datumkenmerk (vervallen)</w:t>
            </w: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073A55"/>
        </w:tc>
      </w:tr>
      <w:tr w:rsidR="00073A55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7B3742" w:rsidRDefault="00073A55" w:rsidP="00073A55">
            <w:r>
              <w:rPr>
                <w:i/>
              </w:rPr>
              <w:t>Toelichting</w:t>
            </w:r>
          </w:p>
        </w:tc>
      </w:tr>
      <w:tr w:rsidR="00073A55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Default="00073A55" w:rsidP="00073A5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3A55" w:rsidRPr="007B3742" w:rsidRDefault="000B3CEE" w:rsidP="00073A55">
            <w:r>
              <w:t>De bewaartermijn is afhankelijk van het soort product.</w:t>
            </w:r>
          </w:p>
        </w:tc>
      </w:tr>
      <w:tr w:rsidR="00F6648D" w:rsidRPr="007B3742" w:rsidTr="001C4EC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610BAA" w:rsidP="00073A55">
            <w:pPr>
              <w:rPr>
                <w:b/>
              </w:rPr>
            </w:pPr>
            <w:r>
              <w:rPr>
                <w:b/>
              </w:rPr>
              <w:t>verwerkt</w:t>
            </w:r>
          </w:p>
        </w:tc>
      </w:tr>
      <w:tr w:rsidR="00F6648D" w:rsidRPr="007B3742" w:rsidTr="001C4EC0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073A55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073A55"/>
        </w:tc>
      </w:tr>
      <w:tr w:rsidR="00EB4CF7" w:rsidRPr="007B3742" w:rsidTr="001C4EC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Default="00EB4CF7" w:rsidP="00EB4CF7">
            <w:r>
              <w:t>3.9.3 Vuilverwerking</w:t>
            </w:r>
          </w:p>
          <w:p w:rsidR="00EB4CF7" w:rsidRDefault="00EB4CF7" w:rsidP="00EB4CF7">
            <w:r>
              <w:t>3.3.1 Verkrijging en verlies</w:t>
            </w:r>
          </w:p>
          <w:p w:rsidR="00EB4CF7" w:rsidRDefault="00EB4CF7" w:rsidP="00EB4CF7">
            <w:r>
              <w:t>3.10.3 Brandweer</w:t>
            </w:r>
          </w:p>
          <w:p w:rsidR="00EB4CF7" w:rsidRDefault="00EB4CF7" w:rsidP="00EB4CF7">
            <w:r>
              <w:t>3.1.4 Heffing van belastingen</w:t>
            </w:r>
          </w:p>
          <w:p w:rsidR="00EB4CF7" w:rsidRDefault="00EB4CF7" w:rsidP="00EB4CF7">
            <w:r>
              <w:t>3.7.6 Rijbewijzen</w:t>
            </w:r>
          </w:p>
          <w:p w:rsidR="00EB4CF7" w:rsidRDefault="00EB4CF7" w:rsidP="00EB4CF7">
            <w:r>
              <w:t>2.17 Regeling privaatrechtelijke rechtsverhoudingen</w:t>
            </w:r>
          </w:p>
          <w:p w:rsidR="00EB4CF7" w:rsidRDefault="00EB4CF7" w:rsidP="00EB4CF7">
            <w:r>
              <w:t>2.24 Klachten, inspraak</w:t>
            </w:r>
          </w:p>
          <w:p w:rsidR="00EB4CF7" w:rsidRDefault="00EB4CF7" w:rsidP="00EB4CF7">
            <w:r>
              <w:t>3.5.3 Verkiezingen c.a.</w:t>
            </w:r>
          </w:p>
          <w:p w:rsidR="00EB4CF7" w:rsidRDefault="00EB4CF7" w:rsidP="00EB4CF7">
            <w:r>
              <w:t>3.7.1 Burgerlijke stand</w:t>
            </w:r>
          </w:p>
          <w:p w:rsidR="00EB4CF7" w:rsidRPr="007B3742" w:rsidRDefault="00EB4CF7" w:rsidP="00EB4CF7">
            <w:r>
              <w:t>3.7.4 Individuele personen</w:t>
            </w:r>
          </w:p>
        </w:tc>
      </w:tr>
      <w:tr w:rsidR="00EB4CF7" w:rsidRPr="007B3742" w:rsidTr="001C4EC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EB4CF7">
            <w:r>
              <w:t>Vernietigen, blijvend bewaren</w:t>
            </w:r>
          </w:p>
        </w:tc>
      </w:tr>
      <w:tr w:rsidR="00EB4CF7" w:rsidRPr="007B3742" w:rsidTr="001C4EC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EB4CF7">
            <w:r>
              <w:t xml:space="preserve">1 – 11 jaar </w:t>
            </w:r>
          </w:p>
        </w:tc>
      </w:tr>
      <w:tr w:rsidR="00EB4CF7" w:rsidRPr="007B3742" w:rsidTr="001C4EC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EB4CF7">
            <w:r>
              <w:t>Ander datumkenmerk (vervallen), afgehandeld</w:t>
            </w:r>
          </w:p>
        </w:tc>
      </w:tr>
      <w:tr w:rsidR="00EB4CF7" w:rsidRPr="007B3742" w:rsidTr="001C4EC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lastRenderedPageBreak/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1C4EC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1C4EC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r>
              <w:rPr>
                <w:i/>
              </w:rPr>
              <w:t>Toelichting</w:t>
            </w:r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3E0A50" w:rsidP="00073A55">
            <w:r>
              <w:t>De bewaartermijn is afhankelijk van het soort product.</w:t>
            </w:r>
          </w:p>
        </w:tc>
      </w:tr>
      <w:tr w:rsidR="00EB4CF7" w:rsidRPr="007B3742" w:rsidTr="002801D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b/>
              </w:rPr>
            </w:pPr>
            <w:r>
              <w:rPr>
                <w:b/>
              </w:rPr>
              <w:t>geweigerd</w:t>
            </w:r>
          </w:p>
        </w:tc>
      </w:tr>
      <w:tr w:rsidR="00EB4CF7" w:rsidRPr="007B3742" w:rsidTr="002801D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Default="00024203" w:rsidP="00073A55">
            <w:r>
              <w:t>2.7 Verlening van vergunningen, machtigingen, verklaringen van geen bezwaar e.d.</w:t>
            </w:r>
          </w:p>
          <w:p w:rsidR="00024203" w:rsidRDefault="00024203" w:rsidP="00073A55">
            <w:r>
              <w:t>3.8.5. Lijkbezorging</w:t>
            </w:r>
          </w:p>
          <w:p w:rsidR="00024203" w:rsidRDefault="00024203" w:rsidP="00073A55">
            <w:r>
              <w:t>3.15.2 Financiering</w:t>
            </w:r>
          </w:p>
          <w:p w:rsidR="00024203" w:rsidRDefault="00024203" w:rsidP="00073A55">
            <w:r>
              <w:t>3.7.2 Gemeentelijke basisadministratie persoonsgegevens</w:t>
            </w:r>
          </w:p>
          <w:p w:rsidR="00024203" w:rsidRDefault="00024203" w:rsidP="00024203">
            <w:r>
              <w:t>3.7.5 Reisdocumenten (Paspoortwet- en regelgeving)</w:t>
            </w:r>
          </w:p>
          <w:p w:rsidR="00024203" w:rsidRPr="007B3742" w:rsidRDefault="00024203" w:rsidP="00024203">
            <w:r>
              <w:t>3.7.6. Rijbewijzen</w:t>
            </w:r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024203" w:rsidP="00073A55">
            <w:r>
              <w:t>Vernietigen</w:t>
            </w:r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024203" w:rsidP="00073A55">
            <w:r>
              <w:t>1- 11 jaar</w:t>
            </w:r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52C3F" w:rsidP="00073A55">
            <w:r>
              <w:t>Afgehandeld</w:t>
            </w:r>
            <w:bookmarkStart w:id="1" w:name="_GoBack"/>
            <w:bookmarkEnd w:id="1"/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r>
              <w:rPr>
                <w:i/>
              </w:rPr>
              <w:t>Toelichting</w:t>
            </w:r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3E0A50" w:rsidP="00073A55">
            <w:r>
              <w:t>De bewaartermijn is afhankelijk van het soort product.</w:t>
            </w:r>
          </w:p>
        </w:tc>
      </w:tr>
      <w:tr w:rsidR="00EB4CF7" w:rsidRPr="007B3742" w:rsidTr="002801D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EB4CF7" w:rsidRPr="007B3742" w:rsidTr="002801D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>
            <w:r>
              <w:rPr>
                <w:i/>
              </w:rPr>
              <w:t>Toelichting</w:t>
            </w:r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Default="00EB4CF7" w:rsidP="00073A5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073A55"/>
        </w:tc>
      </w:tr>
      <w:tr w:rsidR="00EB4CF7" w:rsidRPr="007B3742" w:rsidTr="002801D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>
            <w:pPr>
              <w:rPr>
                <w:b/>
              </w:rPr>
            </w:pPr>
            <w:r>
              <w:rPr>
                <w:b/>
              </w:rPr>
              <w:t>niet nodig</w:t>
            </w:r>
          </w:p>
        </w:tc>
      </w:tr>
      <w:tr w:rsidR="00EB4CF7" w:rsidRPr="007B3742" w:rsidTr="002801D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2801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2801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Default="00024203" w:rsidP="002801D8">
            <w:r>
              <w:t xml:space="preserve">2.7 Verlening van </w:t>
            </w:r>
            <w:r w:rsidR="00E52C3F">
              <w:t xml:space="preserve">vergunningen, machtigingen, verklaringen van geen bezwaar e.d. </w:t>
            </w:r>
          </w:p>
          <w:p w:rsidR="00E52C3F" w:rsidRDefault="00E52C3F" w:rsidP="002801D8">
            <w:r>
              <w:t>3.8.5 Lijkbezorging</w:t>
            </w:r>
          </w:p>
          <w:p w:rsidR="00E52C3F" w:rsidRDefault="00E52C3F" w:rsidP="002801D8">
            <w:r>
              <w:t>3.15.2 Financiering</w:t>
            </w:r>
          </w:p>
          <w:p w:rsidR="00E52C3F" w:rsidRPr="007B3742" w:rsidRDefault="00E52C3F" w:rsidP="002801D8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2801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52C3F" w:rsidP="002801D8">
            <w:r>
              <w:t>Vernietigen</w:t>
            </w:r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2801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52C3F" w:rsidP="002801D8">
            <w:r>
              <w:t>1 jaar</w:t>
            </w:r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2801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52C3F" w:rsidP="002801D8">
            <w:r>
              <w:t>Afgehandeld</w:t>
            </w:r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2801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2801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2801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/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4CF7" w:rsidRDefault="00EB4CF7" w:rsidP="002801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>
            <w:r>
              <w:rPr>
                <w:i/>
              </w:rPr>
              <w:t>Toelichting</w:t>
            </w:r>
          </w:p>
        </w:tc>
      </w:tr>
      <w:tr w:rsidR="00EB4CF7" w:rsidRPr="007B3742" w:rsidTr="002801D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Default="00EB4CF7" w:rsidP="002801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4CF7" w:rsidRPr="007B3742" w:rsidRDefault="00EB4CF7" w:rsidP="002801D8"/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  <w:proofErr w:type="spellEnd"/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D20827" w:rsidP="001C4EC0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1C4EC0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1C4EC0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1C4EC0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1C4EC0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1C4EC0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20827" w:rsidP="001C4EC0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1C4EC0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1C4EC0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D20827" w:rsidP="001C4EC0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1C4EC0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1C4EC0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D20827" w:rsidP="001C4EC0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1C4EC0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1C4EC0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D20827" w:rsidP="001C4EC0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1C4EC0"/>
        </w:tc>
      </w:tr>
    </w:tbl>
    <w:p w:rsidR="001C4EC0" w:rsidRPr="00370124" w:rsidRDefault="001C4EC0" w:rsidP="00370124">
      <w:pPr>
        <w:rPr>
          <w:b/>
          <w:bCs/>
          <w:caps/>
        </w:rPr>
      </w:pPr>
    </w:p>
    <w:sectPr w:rsidR="001C4EC0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27E" w:rsidRDefault="0096427E" w:rsidP="00E34F8A">
      <w:pPr>
        <w:spacing w:after="0" w:line="240" w:lineRule="auto"/>
      </w:pPr>
      <w:r>
        <w:separator/>
      </w:r>
    </w:p>
  </w:endnote>
  <w:endnote w:type="continuationSeparator" w:id="0">
    <w:p w:rsidR="0096427E" w:rsidRDefault="0096427E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C622F6" w:rsidRPr="00AE6B3F" w:rsidRDefault="00C622F6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C251FB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C251FB" w:rsidRPr="00AE6B3F">
              <w:rPr>
                <w:sz w:val="18"/>
                <w:szCs w:val="18"/>
              </w:rPr>
              <w:fldChar w:fldCharType="separate"/>
            </w:r>
            <w:r w:rsidR="00A57181">
              <w:rPr>
                <w:noProof/>
                <w:sz w:val="18"/>
                <w:szCs w:val="18"/>
              </w:rPr>
              <w:t>1</w:t>
            </w:r>
            <w:r w:rsidR="00C251FB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A57181" w:rsidRPr="00A57181">
                <w:rPr>
                  <w:noProof/>
                  <w:sz w:val="18"/>
                  <w:szCs w:val="18"/>
                </w:rPr>
                <w:t>9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27E" w:rsidRDefault="0096427E" w:rsidP="00E34F8A">
      <w:pPr>
        <w:spacing w:after="0" w:line="240" w:lineRule="auto"/>
      </w:pPr>
      <w:r>
        <w:separator/>
      </w:r>
    </w:p>
  </w:footnote>
  <w:footnote w:type="continuationSeparator" w:id="0">
    <w:p w:rsidR="0096427E" w:rsidRDefault="0096427E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24203"/>
    <w:rsid w:val="00033054"/>
    <w:rsid w:val="0004442F"/>
    <w:rsid w:val="00051DBA"/>
    <w:rsid w:val="000654DC"/>
    <w:rsid w:val="00073A55"/>
    <w:rsid w:val="00096B47"/>
    <w:rsid w:val="000A648D"/>
    <w:rsid w:val="000B02D2"/>
    <w:rsid w:val="000B3496"/>
    <w:rsid w:val="000B3CEE"/>
    <w:rsid w:val="000C18A5"/>
    <w:rsid w:val="000C685D"/>
    <w:rsid w:val="000D18B7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6983"/>
    <w:rsid w:val="001675F5"/>
    <w:rsid w:val="0017158E"/>
    <w:rsid w:val="00172AF8"/>
    <w:rsid w:val="00194A3C"/>
    <w:rsid w:val="00195059"/>
    <w:rsid w:val="001B3F0A"/>
    <w:rsid w:val="001C4EC0"/>
    <w:rsid w:val="001C7533"/>
    <w:rsid w:val="001E182E"/>
    <w:rsid w:val="001E37C4"/>
    <w:rsid w:val="00201CF5"/>
    <w:rsid w:val="002327DA"/>
    <w:rsid w:val="00251FD4"/>
    <w:rsid w:val="00272603"/>
    <w:rsid w:val="002801D8"/>
    <w:rsid w:val="002A0E9D"/>
    <w:rsid w:val="002A3445"/>
    <w:rsid w:val="002A51FD"/>
    <w:rsid w:val="002D1E2B"/>
    <w:rsid w:val="002D3809"/>
    <w:rsid w:val="002D4DEE"/>
    <w:rsid w:val="002E1CBC"/>
    <w:rsid w:val="002E7554"/>
    <w:rsid w:val="002F69C5"/>
    <w:rsid w:val="00302E11"/>
    <w:rsid w:val="00324EBB"/>
    <w:rsid w:val="00342317"/>
    <w:rsid w:val="003533A3"/>
    <w:rsid w:val="00356304"/>
    <w:rsid w:val="00370124"/>
    <w:rsid w:val="00384D9E"/>
    <w:rsid w:val="00394C68"/>
    <w:rsid w:val="003A2D1E"/>
    <w:rsid w:val="003B61CA"/>
    <w:rsid w:val="003C208F"/>
    <w:rsid w:val="003E0A50"/>
    <w:rsid w:val="003E11AF"/>
    <w:rsid w:val="003E5D6C"/>
    <w:rsid w:val="00405B37"/>
    <w:rsid w:val="004237F6"/>
    <w:rsid w:val="004264BB"/>
    <w:rsid w:val="00426AE0"/>
    <w:rsid w:val="00441899"/>
    <w:rsid w:val="00453005"/>
    <w:rsid w:val="00482A1F"/>
    <w:rsid w:val="00483CDC"/>
    <w:rsid w:val="00484332"/>
    <w:rsid w:val="004854FC"/>
    <w:rsid w:val="004950EE"/>
    <w:rsid w:val="00495680"/>
    <w:rsid w:val="004C0271"/>
    <w:rsid w:val="004E4617"/>
    <w:rsid w:val="004E6E05"/>
    <w:rsid w:val="004E7555"/>
    <w:rsid w:val="004F2441"/>
    <w:rsid w:val="0050685A"/>
    <w:rsid w:val="00530474"/>
    <w:rsid w:val="00535451"/>
    <w:rsid w:val="00540FB5"/>
    <w:rsid w:val="00543554"/>
    <w:rsid w:val="00555D98"/>
    <w:rsid w:val="00576F62"/>
    <w:rsid w:val="00586A5C"/>
    <w:rsid w:val="005A3B9E"/>
    <w:rsid w:val="005B072C"/>
    <w:rsid w:val="005B52D6"/>
    <w:rsid w:val="005E0A9A"/>
    <w:rsid w:val="005E26AA"/>
    <w:rsid w:val="005F3CE0"/>
    <w:rsid w:val="005F6B89"/>
    <w:rsid w:val="006041AE"/>
    <w:rsid w:val="00610BAA"/>
    <w:rsid w:val="006273C1"/>
    <w:rsid w:val="00651CA1"/>
    <w:rsid w:val="00672E0B"/>
    <w:rsid w:val="006855A1"/>
    <w:rsid w:val="006873D7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4403"/>
    <w:rsid w:val="007154E4"/>
    <w:rsid w:val="007216FE"/>
    <w:rsid w:val="0072699D"/>
    <w:rsid w:val="00730B34"/>
    <w:rsid w:val="007379CE"/>
    <w:rsid w:val="0074365B"/>
    <w:rsid w:val="00757AE7"/>
    <w:rsid w:val="0076496C"/>
    <w:rsid w:val="00770389"/>
    <w:rsid w:val="00770FE0"/>
    <w:rsid w:val="0077495A"/>
    <w:rsid w:val="00775B24"/>
    <w:rsid w:val="00796EC1"/>
    <w:rsid w:val="007A1A03"/>
    <w:rsid w:val="007A65C7"/>
    <w:rsid w:val="007A719E"/>
    <w:rsid w:val="007A7868"/>
    <w:rsid w:val="007B1498"/>
    <w:rsid w:val="007B3742"/>
    <w:rsid w:val="007C0620"/>
    <w:rsid w:val="007C0841"/>
    <w:rsid w:val="007C08D9"/>
    <w:rsid w:val="007D7715"/>
    <w:rsid w:val="007E0A9E"/>
    <w:rsid w:val="007E34B3"/>
    <w:rsid w:val="007E6161"/>
    <w:rsid w:val="007E6C4B"/>
    <w:rsid w:val="007F62C4"/>
    <w:rsid w:val="008441C9"/>
    <w:rsid w:val="00844EF2"/>
    <w:rsid w:val="00846040"/>
    <w:rsid w:val="0085539C"/>
    <w:rsid w:val="00855519"/>
    <w:rsid w:val="00860AC1"/>
    <w:rsid w:val="00873152"/>
    <w:rsid w:val="008754C0"/>
    <w:rsid w:val="008A1EC2"/>
    <w:rsid w:val="008B0BA1"/>
    <w:rsid w:val="008B2DF9"/>
    <w:rsid w:val="008D52C0"/>
    <w:rsid w:val="008D737D"/>
    <w:rsid w:val="008E1015"/>
    <w:rsid w:val="008F03EC"/>
    <w:rsid w:val="00900A85"/>
    <w:rsid w:val="0091564F"/>
    <w:rsid w:val="00930ED3"/>
    <w:rsid w:val="00943844"/>
    <w:rsid w:val="009445D2"/>
    <w:rsid w:val="00952A10"/>
    <w:rsid w:val="00960746"/>
    <w:rsid w:val="0096427E"/>
    <w:rsid w:val="00982A1D"/>
    <w:rsid w:val="00983902"/>
    <w:rsid w:val="0099604A"/>
    <w:rsid w:val="009A132D"/>
    <w:rsid w:val="009A69EC"/>
    <w:rsid w:val="009C59B0"/>
    <w:rsid w:val="009C603F"/>
    <w:rsid w:val="009F3778"/>
    <w:rsid w:val="00A02218"/>
    <w:rsid w:val="00A12040"/>
    <w:rsid w:val="00A1306E"/>
    <w:rsid w:val="00A15D69"/>
    <w:rsid w:val="00A25BF1"/>
    <w:rsid w:val="00A26414"/>
    <w:rsid w:val="00A2720A"/>
    <w:rsid w:val="00A50A66"/>
    <w:rsid w:val="00A57181"/>
    <w:rsid w:val="00A609A2"/>
    <w:rsid w:val="00A6183D"/>
    <w:rsid w:val="00A643E0"/>
    <w:rsid w:val="00A70D24"/>
    <w:rsid w:val="00A7626D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07F8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B434A"/>
    <w:rsid w:val="00BB649C"/>
    <w:rsid w:val="00BC09ED"/>
    <w:rsid w:val="00BD2AC7"/>
    <w:rsid w:val="00C06DD0"/>
    <w:rsid w:val="00C126A8"/>
    <w:rsid w:val="00C12F84"/>
    <w:rsid w:val="00C251FB"/>
    <w:rsid w:val="00C30DCE"/>
    <w:rsid w:val="00C35E47"/>
    <w:rsid w:val="00C379F3"/>
    <w:rsid w:val="00C4765B"/>
    <w:rsid w:val="00C51F69"/>
    <w:rsid w:val="00C5344D"/>
    <w:rsid w:val="00C54DE9"/>
    <w:rsid w:val="00C622F6"/>
    <w:rsid w:val="00C64BDA"/>
    <w:rsid w:val="00C6526A"/>
    <w:rsid w:val="00C75F63"/>
    <w:rsid w:val="00C820EC"/>
    <w:rsid w:val="00C83E0C"/>
    <w:rsid w:val="00C9546E"/>
    <w:rsid w:val="00CB4DCE"/>
    <w:rsid w:val="00CB50D4"/>
    <w:rsid w:val="00CD4968"/>
    <w:rsid w:val="00CF3415"/>
    <w:rsid w:val="00CF55B4"/>
    <w:rsid w:val="00D12699"/>
    <w:rsid w:val="00D12F8D"/>
    <w:rsid w:val="00D20827"/>
    <w:rsid w:val="00D24B1D"/>
    <w:rsid w:val="00D27D29"/>
    <w:rsid w:val="00D3680C"/>
    <w:rsid w:val="00D40241"/>
    <w:rsid w:val="00D4431F"/>
    <w:rsid w:val="00D44841"/>
    <w:rsid w:val="00D463E2"/>
    <w:rsid w:val="00D51521"/>
    <w:rsid w:val="00D71115"/>
    <w:rsid w:val="00D72FD7"/>
    <w:rsid w:val="00D735DD"/>
    <w:rsid w:val="00D83DF1"/>
    <w:rsid w:val="00D860EE"/>
    <w:rsid w:val="00DB031C"/>
    <w:rsid w:val="00DB420F"/>
    <w:rsid w:val="00DB4391"/>
    <w:rsid w:val="00DB73C0"/>
    <w:rsid w:val="00DD53A8"/>
    <w:rsid w:val="00DF5443"/>
    <w:rsid w:val="00E03C4F"/>
    <w:rsid w:val="00E12FE3"/>
    <w:rsid w:val="00E25E96"/>
    <w:rsid w:val="00E273F0"/>
    <w:rsid w:val="00E32BB5"/>
    <w:rsid w:val="00E34A6B"/>
    <w:rsid w:val="00E34F8A"/>
    <w:rsid w:val="00E35631"/>
    <w:rsid w:val="00E52C3F"/>
    <w:rsid w:val="00E53754"/>
    <w:rsid w:val="00E72B42"/>
    <w:rsid w:val="00E741FD"/>
    <w:rsid w:val="00E8050A"/>
    <w:rsid w:val="00E824EF"/>
    <w:rsid w:val="00E82D8F"/>
    <w:rsid w:val="00E86F55"/>
    <w:rsid w:val="00E93E3B"/>
    <w:rsid w:val="00E9679D"/>
    <w:rsid w:val="00EA04A5"/>
    <w:rsid w:val="00EA2FE1"/>
    <w:rsid w:val="00EA4F4F"/>
    <w:rsid w:val="00EB0790"/>
    <w:rsid w:val="00EB4CF7"/>
    <w:rsid w:val="00EB7EF3"/>
    <w:rsid w:val="00EC0193"/>
    <w:rsid w:val="00EC0B84"/>
    <w:rsid w:val="00ED26DF"/>
    <w:rsid w:val="00EF09F9"/>
    <w:rsid w:val="00F128C7"/>
    <w:rsid w:val="00F140F5"/>
    <w:rsid w:val="00F163CD"/>
    <w:rsid w:val="00F30BA7"/>
    <w:rsid w:val="00F6648D"/>
    <w:rsid w:val="00F7034D"/>
    <w:rsid w:val="00F77BDD"/>
    <w:rsid w:val="00F8242C"/>
    <w:rsid w:val="00F82A73"/>
    <w:rsid w:val="00F84C07"/>
    <w:rsid w:val="00F90115"/>
    <w:rsid w:val="00F96A10"/>
    <w:rsid w:val="00FA2373"/>
    <w:rsid w:val="00FA6577"/>
    <w:rsid w:val="00FB201B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434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  <w:style w:type="paragraph" w:styleId="Lijstalinea">
    <w:name w:val="List Paragraph"/>
    <w:basedOn w:val="Standaard"/>
    <w:uiPriority w:val="34"/>
    <w:qFormat/>
    <w:rsid w:val="00A50A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Normaal"/>
    <w:link w:val="DocumentstructuurTeken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Teken">
    <w:name w:val="Document Map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Normaal"/>
    <w:link w:val="KoptekstTeken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Header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Normaal"/>
    <w:link w:val="VoettekstTeken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Footer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on Tex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  <w:style w:type="paragraph" w:styleId="Lijstalinea">
    <w:name w:val="List Paragraph"/>
    <w:basedOn w:val="Normaal"/>
    <w:uiPriority w:val="34"/>
    <w:qFormat/>
    <w:rsid w:val="00A50A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1383</Words>
  <Characters>7612</Characters>
  <Application>Microsoft Office Word</Application>
  <DocSecurity>0</DocSecurity>
  <Lines>63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GEMMA Referentiezaaktype</vt:lpstr>
      <vt:lpstr>GEMMA Referentiezaaktype</vt:lpstr>
    </vt:vector>
  </TitlesOfParts>
  <Company>KING Gemeenten</Company>
  <LinksUpToDate>false</LinksUpToDate>
  <CharactersWithSpaces>8978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Publieke producten_p4.5</dc:subject>
  <dc:creator>KING Gemeenten</dc:creator>
  <cp:keywords>ztc zaaktype</cp:keywords>
  <cp:lastModifiedBy>Arjan</cp:lastModifiedBy>
  <cp:revision>27</cp:revision>
  <cp:lastPrinted>2014-12-08T22:58:00Z</cp:lastPrinted>
  <dcterms:created xsi:type="dcterms:W3CDTF">2014-12-11T14:13:00Z</dcterms:created>
  <dcterms:modified xsi:type="dcterms:W3CDTF">2014-12-29T23:48:00Z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